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4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1" w:after="68"/>
        <w:jc w:val="center"/>
        <w:textAlignment w:val="auto"/>
        <w:rPr>
          <w:b/>
          <w:sz w:val="36"/>
          <w:shd w:val="clear" w:color="auto" w:fill="auto"/>
        </w:rPr>
      </w:pPr>
      <w:r>
        <w:rPr>
          <w:b/>
          <w:sz w:val="36"/>
          <w:shd w:val="clear" w:color="auto" w:fill="auto"/>
        </w:rPr>
        <w:t>Statuts officiels de l’association</w:t>
      </w:r>
    </w:p>
    <w:p w14:paraId="26B2A1AB">
      <w:pPr>
        <w:pStyle w:val="16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after="68" w:line="480" w:lineRule="auto"/>
        <w:textAlignment w:val="auto"/>
        <w:rPr>
          <w:shd w:val="clear" w:color="auto" w:fill="auto"/>
        </w:rPr>
      </w:pPr>
      <w:r>
        <w:rPr>
          <w:rFonts w:hint="default" w:asciiTheme="majorAscii" w:hAnsiTheme="majorAscii"/>
          <w:shd w:val="clear" w:color="auto" w:fill="auto"/>
        </w:rPr>
        <w:t xml:space="preserve">(Loi du </w:t>
      </w:r>
      <w:r>
        <w:rPr>
          <w:rFonts w:hint="default" w:asciiTheme="majorAscii" w:hAnsiTheme="majorAscii"/>
        </w:rPr>
        <w:t>1</w:t>
      </w:r>
      <w:r>
        <w:rPr>
          <w:rFonts w:hint="eastAsia" w:asciiTheme="majorEastAsia" w:hAnsiTheme="majorEastAsia" w:eastAsiaTheme="majorEastAsia" w:cstheme="majorEastAsia"/>
        </w:rPr>
        <w:t>ᵉʳ</w:t>
      </w:r>
      <w:r>
        <w:rPr>
          <w:rFonts w:hint="default" w:asciiTheme="majorAscii" w:hAnsiTheme="majorAscii"/>
          <w:shd w:val="clear" w:color="auto" w:fill="auto"/>
        </w:rPr>
        <w:t xml:space="preserve"> juillet 1901)</w:t>
      </w:r>
    </w:p>
    <w:p w14:paraId="2F36FC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1" w:after="68"/>
        <w:jc w:val="center"/>
        <w:textAlignment w:val="auto"/>
        <w:rPr>
          <w:shd w:val="clear" w:color="auto" w:fill="auto"/>
        </w:rPr>
      </w:pPr>
      <w:r>
        <w:rPr>
          <w:rFonts w:hint="default"/>
          <w:b/>
          <w:sz w:val="32"/>
          <w:shd w:val="clear" w:color="auto" w:fill="auto"/>
          <w:lang w:val="fr-FR"/>
        </w:rPr>
        <w:t>L</w:t>
      </w:r>
      <w:r>
        <w:rPr>
          <w:b/>
          <w:sz w:val="32"/>
          <w:shd w:val="clear" w:color="auto" w:fill="auto"/>
        </w:rPr>
        <w:t>es Gardiens des Puits du Périgord Vert</w:t>
      </w:r>
    </w:p>
    <w:p w14:paraId="7F5B192D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jc w:val="both"/>
        <w:textAlignment w:val="auto"/>
        <w:rPr>
          <w:shd w:val="clear" w:color="auto" w:fill="auto"/>
        </w:rPr>
      </w:pPr>
      <w:r>
        <w:rPr>
          <w:shd w:val="clear" w:color="auto" w:fill="auto"/>
        </w:rPr>
        <w:t>Préambule</w:t>
      </w:r>
    </w:p>
    <w:p w14:paraId="13FB0F58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Suite à l’appel d’un des derniers puisatiers de France, Isidore Plante</w:t>
      </w:r>
      <w:r>
        <w:rPr>
          <w:rFonts w:hint="default"/>
          <w:shd w:val="clear" w:color="auto" w:fill="auto"/>
          <w:lang w:val="fr-FR"/>
        </w:rPr>
        <w:t>y</w:t>
      </w:r>
      <w:r>
        <w:rPr>
          <w:shd w:val="clear" w:color="auto" w:fill="auto"/>
        </w:rPr>
        <w:t>, sur l’urgence de sauvegarder, réhabiliter et transmettre les savoirs liés aux puits anciens, les membres fondateurs ont décidé de créer la présente association.</w:t>
      </w:r>
    </w:p>
    <w:p w14:paraId="4FD44EB3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1 – Dénomination</w:t>
      </w:r>
    </w:p>
    <w:p w14:paraId="2E1FCBC4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 xml:space="preserve">Il est fondé entre les adhérents aux présents statuts une association régie par la loi du </w:t>
      </w:r>
      <w:r>
        <w:rPr>
          <w:rFonts w:hint="default" w:asciiTheme="majorAscii" w:hAnsiTheme="majorAscii"/>
        </w:rPr>
        <w:t>1</w:t>
      </w:r>
      <w:r>
        <w:rPr>
          <w:rFonts w:hint="eastAsia" w:asciiTheme="majorEastAsia" w:hAnsiTheme="majorEastAsia" w:eastAsiaTheme="majorEastAsia" w:cstheme="majorEastAsia"/>
        </w:rPr>
        <w:t>ᵉʳ</w:t>
      </w:r>
      <w:r>
        <w:rPr>
          <w:shd w:val="clear" w:color="auto" w:fill="auto"/>
        </w:rPr>
        <w:t xml:space="preserve"> juillet 1901 et le décret du 16 août 1901, ayant pour dénomination :</w:t>
      </w:r>
    </w:p>
    <w:p w14:paraId="45F53137">
      <w:pPr>
        <w:jc w:val="both"/>
        <w:rPr>
          <w:shd w:val="clear" w:color="auto" w:fill="auto"/>
        </w:rPr>
      </w:pPr>
      <w:r>
        <w:rPr>
          <w:b/>
          <w:shd w:val="clear" w:color="auto" w:fill="auto"/>
        </w:rPr>
        <w:t>Les Gardiens des Puits du Périgord Vert</w:t>
      </w:r>
    </w:p>
    <w:p w14:paraId="2091F560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2 – Objet et moyens d’action</w:t>
      </w:r>
    </w:p>
    <w:p w14:paraId="14FC3C38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L’Association a pour objet, dans un but non lucratif, de contribuer à :</w:t>
      </w:r>
    </w:p>
    <w:p w14:paraId="358E4FF6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la connaissance ;</w:t>
      </w:r>
    </w:p>
    <w:p w14:paraId="03FCF65E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la sauvegarde ;</w:t>
      </w:r>
    </w:p>
    <w:p w14:paraId="68F5446E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la restauration ;</w:t>
      </w:r>
    </w:p>
    <w:p w14:paraId="254723AC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l’entretien ;</w:t>
      </w:r>
    </w:p>
    <w:p w14:paraId="34D8FF42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et la valorisation des puits traditionnels et, plus largement, du patrimoine lié à l’eau, ainsi qu’à la transmission des savoirs et savoir-faire associés (puisatiers, sourciers, artisans, pratiques traditionnelles, approches patrimoniales, culturelles et environnementales).</w:t>
      </w:r>
    </w:p>
    <w:p w14:paraId="14E94574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Pour la réalisation de cet objet, l’Association peut notamment :</w:t>
      </w:r>
    </w:p>
    <w:p w14:paraId="15120FDD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informer, instruire et sensibiliser le public ;</w:t>
      </w:r>
    </w:p>
    <w:p w14:paraId="497039DD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organiser ateliers, conférences, actions pédagogiques, chantiers participatifs et événements ;</w:t>
      </w:r>
    </w:p>
    <w:p w14:paraId="55885DCB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conduire ou soutenir des projets pilotes liés à l’eau ;</w:t>
      </w:r>
    </w:p>
    <w:p w14:paraId="3775C055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réaliser des repérages et diagnostics patrimoniaux non destructifs ;</w:t>
      </w:r>
    </w:p>
    <w:p w14:paraId="6FB135E4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proposer conseils et accompagnements, dans le respect des lois et autorisations ;</w:t>
      </w:r>
    </w:p>
    <w:p w14:paraId="4DC0DA87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publier des documents, créer des ressources, développer des partenariats et réseaux ;</w:t>
      </w:r>
    </w:p>
    <w:p w14:paraId="6B5745AB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collecter les ressources nécessaires à ses actions (cf. article 7).</w:t>
      </w:r>
    </w:p>
    <w:p w14:paraId="02D2591C">
      <w:pPr>
        <w:jc w:val="both"/>
        <w:rPr>
          <w:shd w:val="clear" w:color="auto" w:fill="auto"/>
        </w:rPr>
      </w:pPr>
      <w:r>
        <w:rPr>
          <w:b/>
          <w:shd w:val="clear" w:color="auto" w:fill="auto"/>
        </w:rPr>
        <w:t>Important :</w:t>
      </w:r>
    </w:p>
    <w:p w14:paraId="4CEB6C6B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L’Association ne se substitue en aucun cas :</w:t>
      </w:r>
    </w:p>
    <w:p w14:paraId="6F5C6311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aux obligations légales des propriétaires ;</w:t>
      </w:r>
    </w:p>
    <w:p w14:paraId="13237686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aux missions relevant de professions réglementées (travaux structurels, maîtrise d’œuvre, expertise technique certifiée).</w:t>
      </w:r>
    </w:p>
    <w:p w14:paraId="7BB1E8A9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Ses actions relèvent d’une obligation de moyens et non de résultat, sauf stipulation écrite contraire.</w:t>
      </w:r>
    </w:p>
    <w:p w14:paraId="1BEEFC1D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3 – Siège social</w:t>
      </w:r>
    </w:p>
    <w:p w14:paraId="5AAA5BD1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Le siège social est fixé au domicile du Président fondateur :</w:t>
      </w:r>
    </w:p>
    <w:p w14:paraId="688902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Theme="majorAscii" w:hAnsiTheme="majorAscii"/>
          <w:b w:val="0"/>
          <w:bCs/>
          <w:sz w:val="24"/>
          <w:szCs w:val="24"/>
          <w:shd w:val="clear" w:color="auto" w:fill="auto"/>
        </w:rPr>
      </w:pPr>
      <w:r>
        <w:rPr>
          <w:rFonts w:hint="default" w:asciiTheme="majorAscii" w:hAnsiTheme="majorAscii"/>
          <w:b w:val="0"/>
          <w:bCs/>
          <w:sz w:val="28"/>
          <w:szCs w:val="28"/>
          <w:shd w:val="clear" w:color="auto" w:fill="auto"/>
        </w:rPr>
        <w:t>Les Gardiens des Puits du Périgord Vert</w:t>
      </w:r>
    </w:p>
    <w:p w14:paraId="5FD2515C">
      <w:pPr>
        <w:keepNext w:val="0"/>
        <w:keepLines w:val="0"/>
        <w:widowControl/>
        <w:suppressLineNumbers w:val="0"/>
        <w:jc w:val="left"/>
        <w:rPr>
          <w:rFonts w:hint="default" w:asciiTheme="majorAscii" w:hAnsiTheme="majorAscii"/>
          <w:sz w:val="28"/>
          <w:szCs w:val="28"/>
          <w:shd w:val="clear" w:color="auto" w:fill="auto"/>
          <w:lang w:val="fr-FR"/>
        </w:rPr>
      </w:pPr>
      <w:r>
        <w:rPr>
          <w:rFonts w:hint="default" w:asciiTheme="majorAscii" w:hAnsiTheme="majorAscii"/>
          <w:sz w:val="24"/>
          <w:szCs w:val="24"/>
          <w:shd w:val="clear" w:color="auto" w:fill="auto"/>
          <w:lang w:val="fr-FR"/>
        </w:rPr>
        <w:t>000, route des xxxxxxx - 24 000 xxxxxxxxx</w:t>
      </w:r>
    </w:p>
    <w:p w14:paraId="6D3FF8A6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Il peut être transféré par simple décision du Bureau, ratifié à la plus proche Assemblée Générale.</w:t>
      </w:r>
    </w:p>
    <w:p w14:paraId="646A5C6E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4 – Durée</w:t>
      </w:r>
    </w:p>
    <w:p w14:paraId="4E96B134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La durée de l’Association est illimitée.</w:t>
      </w:r>
    </w:p>
    <w:p w14:paraId="4D8E65D8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5 – Composition</w:t>
      </w:r>
    </w:p>
    <w:p w14:paraId="29285863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L’Association se compose de :</w:t>
      </w:r>
    </w:p>
    <w:p w14:paraId="1E00D45C">
      <w:pPr>
        <w:spacing w:after="120"/>
        <w:jc w:val="both"/>
        <w:rPr>
          <w:shd w:val="clear" w:color="auto" w:fill="auto"/>
        </w:rPr>
      </w:pPr>
      <w:r>
        <w:rPr>
          <w:b/>
          <w:shd w:val="clear" w:color="auto" w:fill="auto"/>
        </w:rPr>
        <w:t>Membres actifs – « Gardiens des Puits »</w:t>
      </w:r>
    </w:p>
    <w:p w14:paraId="23ED1CD7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Engagés dans les missions et actions, disposant du droit de vote.</w:t>
      </w:r>
    </w:p>
    <w:p w14:paraId="57AF0A54">
      <w:pPr>
        <w:spacing w:after="120"/>
        <w:jc w:val="both"/>
        <w:rPr>
          <w:shd w:val="clear" w:color="auto" w:fill="auto"/>
        </w:rPr>
      </w:pPr>
      <w:r>
        <w:rPr>
          <w:b/>
          <w:shd w:val="clear" w:color="auto" w:fill="auto"/>
        </w:rPr>
        <w:t>Membres adhérents – « Amis des Puits »</w:t>
      </w:r>
    </w:p>
    <w:p w14:paraId="386A4EDF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Soutiens sans obligation opérationnelle ni décisionnelle.</w:t>
      </w:r>
    </w:p>
    <w:p w14:paraId="2E8B765F">
      <w:pPr>
        <w:spacing w:after="120"/>
        <w:jc w:val="both"/>
        <w:rPr>
          <w:shd w:val="clear" w:color="auto" w:fill="auto"/>
        </w:rPr>
      </w:pPr>
      <w:r>
        <w:rPr>
          <w:b/>
          <w:shd w:val="clear" w:color="auto" w:fill="auto"/>
        </w:rPr>
        <w:t>Membres d’honneur</w:t>
      </w:r>
    </w:p>
    <w:p w14:paraId="6E344AA3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Titre honorifique décerné par l’Assemblée Générale, avec voix consultative, dispensés de cotisation.</w:t>
      </w:r>
    </w:p>
    <w:p w14:paraId="0EA49A02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6 – Admission, cotisation, perte de la qualité de membre</w:t>
      </w:r>
    </w:p>
    <w:p w14:paraId="49589F12">
      <w:pPr>
        <w:spacing w:after="120"/>
        <w:jc w:val="both"/>
        <w:rPr>
          <w:shd w:val="clear" w:color="auto" w:fill="auto"/>
        </w:rPr>
      </w:pPr>
      <w:r>
        <w:rPr>
          <w:b/>
          <w:shd w:val="clear" w:color="auto" w:fill="auto"/>
        </w:rPr>
        <w:t>Admission</w:t>
      </w:r>
    </w:p>
    <w:p w14:paraId="13F6D2C5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Toute personne physique ou morale acceptant les statuts, la charte éthique et le règlement intérieur peut adhérer.</w:t>
      </w:r>
    </w:p>
    <w:p w14:paraId="5FA5F838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L’admission est prononcée par le Bureau.</w:t>
      </w:r>
    </w:p>
    <w:p w14:paraId="646F45B9">
      <w:pPr>
        <w:spacing w:after="120"/>
        <w:jc w:val="both"/>
        <w:rPr>
          <w:shd w:val="clear" w:color="auto" w:fill="auto"/>
        </w:rPr>
      </w:pPr>
      <w:r>
        <w:rPr>
          <w:b/>
          <w:shd w:val="clear" w:color="auto" w:fill="auto"/>
        </w:rPr>
        <w:t>Cotisation</w:t>
      </w:r>
    </w:p>
    <w:p w14:paraId="66BACB66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Le montant est libre ou fixé annuellement par l’Assemblée Générale.</w:t>
      </w:r>
    </w:p>
    <w:p w14:paraId="48B9670B">
      <w:pPr>
        <w:spacing w:after="120"/>
        <w:jc w:val="both"/>
        <w:rPr>
          <w:shd w:val="clear" w:color="auto" w:fill="auto"/>
        </w:rPr>
      </w:pPr>
      <w:r>
        <w:rPr>
          <w:b/>
          <w:shd w:val="clear" w:color="auto" w:fill="auto"/>
        </w:rPr>
        <w:t>Perte de la qualité de membre</w:t>
      </w:r>
    </w:p>
    <w:p w14:paraId="55BD08D5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Elle intervient par :</w:t>
      </w:r>
    </w:p>
    <w:p w14:paraId="4739BFE4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démission écrite ;</w:t>
      </w:r>
    </w:p>
    <w:p w14:paraId="48FB316B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décès ;</w:t>
      </w:r>
    </w:p>
    <w:p w14:paraId="5DDE86B8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non-paiement de la cotisation après relance ;</w:t>
      </w:r>
    </w:p>
    <w:p w14:paraId="0CDC16EA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exclusion.</w:t>
      </w:r>
    </w:p>
    <w:p w14:paraId="7B89F7BA">
      <w:pPr>
        <w:spacing w:after="120"/>
        <w:jc w:val="both"/>
        <w:rPr>
          <w:shd w:val="clear" w:color="auto" w:fill="auto"/>
        </w:rPr>
      </w:pPr>
      <w:r>
        <w:rPr>
          <w:b/>
          <w:shd w:val="clear" w:color="auto" w:fill="auto"/>
        </w:rPr>
        <w:t>Exclusion</w:t>
      </w:r>
    </w:p>
    <w:p w14:paraId="0EDB77BF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Peut être prononcée pour motif grave (atteinte à l’objet, manquement éthique, non-respect des règles de sécurité, comportement préjudiciable).</w:t>
      </w:r>
    </w:p>
    <w:p w14:paraId="394A2B46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La personne concernée est informée par écrit, peut présenter ses observations et reçoit une décision motivée.</w:t>
      </w:r>
    </w:p>
    <w:p w14:paraId="4B10EE6E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Un recours est possible devant la prochaine Assemblée Générale, qui statue définitivement.</w:t>
      </w:r>
    </w:p>
    <w:p w14:paraId="616526B2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7 – Ressources financières</w:t>
      </w:r>
    </w:p>
    <w:p w14:paraId="2F4DF628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Les ressources comprennent notamment :</w:t>
      </w:r>
    </w:p>
    <w:p w14:paraId="2A876ABB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cotisations ;</w:t>
      </w:r>
    </w:p>
    <w:p w14:paraId="51E8CDDD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dons matériels et financiers ;</w:t>
      </w:r>
    </w:p>
    <w:p w14:paraId="4B8B6B5B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mécénat et sponsoring compatibles avec l’éthique de l’Association ;</w:t>
      </w:r>
    </w:p>
    <w:p w14:paraId="406CE553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subventions publiques ou privées ;</w:t>
      </w:r>
    </w:p>
    <w:p w14:paraId="5F3C1951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recettes d’activités accessoires compatibles avec le but non lucratif ;</w:t>
      </w:r>
    </w:p>
    <w:p w14:paraId="4F9DEE80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donations et legs autorisés par la loi.</w:t>
      </w:r>
    </w:p>
    <w:p w14:paraId="394C4D11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Les excédents éventuels sont intégralement réinvestis dans l’objet social.</w:t>
      </w:r>
    </w:p>
    <w:p w14:paraId="13BA1D01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8 – Remboursement de frais</w:t>
      </w:r>
    </w:p>
    <w:p w14:paraId="510CEB70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Les frais engagés pour les besoins de l’Association peuvent être remboursés sur justificatifs, selon des modalités définies par le règlement intérieur et sur décision du Bureau.</w:t>
      </w:r>
    </w:p>
    <w:p w14:paraId="0CEF30F5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9 – Assemblée Générale Ordinaire (AGO)</w:t>
      </w:r>
    </w:p>
    <w:p w14:paraId="3BFCCEAB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Elle se réunit au moins une fois par an et :</w:t>
      </w:r>
    </w:p>
    <w:p w14:paraId="702D33E0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approuve les rapports moral, d’activité et financier ;</w:t>
      </w:r>
    </w:p>
    <w:p w14:paraId="57B51478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approuve les comptes et le budget ;</w:t>
      </w:r>
    </w:p>
    <w:p w14:paraId="00E7E7B2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fixe les cotisations ;</w:t>
      </w:r>
    </w:p>
    <w:p w14:paraId="5CC4B9B9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élit ou valide le Bureau ;</w:t>
      </w:r>
    </w:p>
    <w:p w14:paraId="68F580A4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définit les orientations.</w:t>
      </w:r>
    </w:p>
    <w:p w14:paraId="18A4CA69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Convocation : 15 jours minimum avant la date.</w:t>
      </w:r>
    </w:p>
    <w:p w14:paraId="3696DE71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Votes : majorité des 2/3 des membres présents ou représentés.</w:t>
      </w:r>
    </w:p>
    <w:p w14:paraId="08057E37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Un procès-verbal est établi et conservé.</w:t>
      </w:r>
    </w:p>
    <w:p w14:paraId="3F81D18B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10 – Assemblée Générale Extraordinaire (AGE)</w:t>
      </w:r>
    </w:p>
    <w:p w14:paraId="78BB65EE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Compétente pour la modification des statuts et la dissolution.</w:t>
      </w:r>
    </w:p>
    <w:p w14:paraId="5032A4EB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Convocation et majorité identiques à l’AGO.</w:t>
      </w:r>
    </w:p>
    <w:p w14:paraId="5C139DF2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11 – Bureau</w:t>
      </w:r>
    </w:p>
    <w:p w14:paraId="1A216C4C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L’Association est administrée par un Bureau élu par l’Assemblée Générale, comprenant au minimum :</w:t>
      </w:r>
    </w:p>
    <w:p w14:paraId="7DC10EAD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un Président ;</w:t>
      </w:r>
    </w:p>
    <w:p w14:paraId="43C3E4B3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un Trésorier (les fonctions pouvant être cumulées si nécessaire).</w:t>
      </w:r>
    </w:p>
    <w:p w14:paraId="0693051F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Le Bureau gère l’Association au quotidien, la représente légalement, et peut déléguer certaines missions par écrit.</w:t>
      </w:r>
    </w:p>
    <w:p w14:paraId="65FB4E8A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12 – Interventions, sécurité, responsabilité et assurances</w:t>
      </w:r>
    </w:p>
    <w:p w14:paraId="791393BB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Toute intervention requiert :</w:t>
      </w:r>
    </w:p>
    <w:p w14:paraId="0C14D5E8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l’accord écrit du propriétaire ;</w:t>
      </w:r>
    </w:p>
    <w:p w14:paraId="35564FDB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le respect des règles de sécurité, environnementales et légales.</w:t>
      </w:r>
    </w:p>
    <w:p w14:paraId="54DC1B45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L’Association peut imposer une convention d’intervention précisant :</w:t>
      </w:r>
    </w:p>
    <w:p w14:paraId="58F7AD43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périmètre ;</w:t>
      </w:r>
    </w:p>
    <w:p w14:paraId="5B42924F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responsabilités ;</w:t>
      </w:r>
    </w:p>
    <w:p w14:paraId="2DB1BFCD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assurances ;</w:t>
      </w:r>
    </w:p>
    <w:p w14:paraId="336CB788">
      <w:pPr>
        <w:pStyle w:val="33"/>
        <w:jc w:val="both"/>
        <w:rPr>
          <w:shd w:val="clear" w:color="auto" w:fill="auto"/>
        </w:rPr>
      </w:pPr>
      <w:r>
        <w:rPr>
          <w:shd w:val="clear" w:color="auto" w:fill="auto"/>
        </w:rPr>
        <w:t>absence de garantie de résultat.</w:t>
      </w:r>
    </w:p>
    <w:p w14:paraId="710174C8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Elle souscrit les assurances nécessaires, notamment une responsabilité civile associative.</w:t>
      </w:r>
    </w:p>
    <w:p w14:paraId="705BDE94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13 – Règlement intérieur et charte</w:t>
      </w:r>
    </w:p>
    <w:p w14:paraId="2CF84A32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Un règlement intérieur et une charte éthique complètent les présents statuts.</w:t>
      </w:r>
    </w:p>
    <w:p w14:paraId="3B545ADD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Ils peuvent être modifiés par le Bureau et soumis à ratification de l’Assemblée Générale.</w:t>
      </w:r>
    </w:p>
    <w:p w14:paraId="175A3A52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14 – Exercice social et transparence</w:t>
      </w:r>
    </w:p>
    <w:p w14:paraId="69888906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L’exercice social court du 1er janvier au 31 décembre.</w:t>
      </w:r>
    </w:p>
    <w:p w14:paraId="2130779A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Une comptabilité régulière est tenue et présentée annuellement.</w:t>
      </w:r>
    </w:p>
    <w:p w14:paraId="4037AE7C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Les fonds affectés à des projets spécifiques font l’objet d’un suivi distinct.</w:t>
      </w:r>
    </w:p>
    <w:p w14:paraId="2977F836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15 – Modification des statuts</w:t>
      </w:r>
    </w:p>
    <w:p w14:paraId="593199D0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Les statuts ne peuvent être modifiés que par l’Assemblée Générale Extraordinaire.</w:t>
      </w:r>
    </w:p>
    <w:p w14:paraId="37AC4D3C">
      <w:pPr>
        <w:pStyle w:val="2"/>
        <w:jc w:val="both"/>
        <w:rPr>
          <w:shd w:val="clear" w:color="auto" w:fill="auto"/>
        </w:rPr>
      </w:pPr>
      <w:r>
        <w:rPr>
          <w:shd w:val="clear" w:color="auto" w:fill="auto"/>
        </w:rPr>
        <w:t>Article 16 – Dissolution et dévolution des biens</w:t>
      </w:r>
    </w:p>
    <w:p w14:paraId="7401B2A2">
      <w:pPr>
        <w:spacing w:after="120"/>
        <w:jc w:val="both"/>
        <w:rPr>
          <w:shd w:val="clear" w:color="auto" w:fill="auto"/>
        </w:rPr>
      </w:pPr>
      <w:r>
        <w:rPr>
          <w:shd w:val="clear" w:color="auto" w:fill="auto"/>
        </w:rPr>
        <w:t>En cas de dissolution, l’actif net est dévolu à une structure poursuivant un objet similaire.</w:t>
      </w:r>
    </w:p>
    <w:p w14:paraId="48237252">
      <w:pPr>
        <w:jc w:val="both"/>
        <w:rPr>
          <w:shd w:val="clear" w:color="auto" w:fill="auto"/>
        </w:rPr>
      </w:pPr>
      <w:r>
        <w:rPr>
          <w:shd w:val="clear" w:color="auto" w:fill="auto"/>
        </w:rPr>
        <w:t>Aucun membre ne peut recevoir une part de l’actif.</w:t>
      </w:r>
    </w:p>
    <w:p w14:paraId="4C2A2C2E">
      <w:pPr>
        <w:jc w:val="both"/>
        <w:rPr>
          <w:rFonts w:hint="default"/>
          <w:shd w:val="clear" w:color="auto" w:fill="auto"/>
          <w:lang w:val="fr-FR"/>
        </w:rPr>
      </w:pPr>
      <w:r>
        <w:rPr>
          <w:shd w:val="clear" w:color="auto" w:fill="auto"/>
        </w:rPr>
        <w:t>Fait</w:t>
      </w:r>
      <w:r>
        <w:rPr>
          <w:rFonts w:hint="default"/>
          <w:shd w:val="clear" w:color="auto" w:fill="auto"/>
          <w:lang w:val="fr-FR"/>
        </w:rPr>
        <w:t xml:space="preserve"> à xxxxxxxx</w:t>
      </w:r>
      <w:bookmarkStart w:id="0" w:name="_GoBack"/>
      <w:bookmarkEnd w:id="0"/>
      <w:r>
        <w:rPr>
          <w:shd w:val="clear" w:color="auto" w:fill="auto"/>
        </w:rPr>
        <w:t xml:space="preserve">, le </w:t>
      </w:r>
      <w:r>
        <w:rPr>
          <w:rFonts w:hint="default"/>
          <w:shd w:val="clear" w:color="auto" w:fill="auto"/>
          <w:lang w:val="fr-FR"/>
        </w:rPr>
        <w:t>xx janvier 2026</w:t>
      </w:r>
    </w:p>
    <w:p w14:paraId="6B2E7934">
      <w:pPr>
        <w:jc w:val="both"/>
        <w:rPr>
          <w:shd w:val="clear" w:color="auto" w:fill="auto"/>
        </w:rPr>
      </w:pPr>
      <w:r>
        <w:rPr>
          <w:shd w:val="clear" w:color="auto" w:fill="auto"/>
        </w:rPr>
        <w:t xml:space="preserve">Signatures des membres fondateurs : </w:t>
      </w:r>
      <w:r>
        <w:rPr>
          <w:rFonts w:hint="default"/>
          <w:shd w:val="clear" w:color="auto" w:fill="auto"/>
          <w:lang w:val="fr-FR"/>
        </w:rPr>
        <w:tab/>
      </w:r>
      <w:r>
        <w:rPr>
          <w:rFonts w:hint="default"/>
          <w:shd w:val="clear" w:color="auto" w:fill="auto"/>
          <w:lang w:val="fr-FR"/>
        </w:rPr>
        <w:t>NOM Prénom</w:t>
      </w:r>
      <w:r>
        <w:rPr>
          <w:rFonts w:hint="default"/>
          <w:shd w:val="clear" w:color="auto" w:fill="auto"/>
          <w:lang w:val="fr-FR"/>
        </w:rPr>
        <w:tab/>
      </w:r>
      <w:r>
        <w:rPr>
          <w:rFonts w:hint="default"/>
          <w:shd w:val="clear" w:color="auto" w:fill="auto"/>
          <w:lang w:val="fr-FR"/>
        </w:rPr>
        <w:tab/>
      </w:r>
      <w:r>
        <w:rPr>
          <w:rFonts w:hint="default"/>
          <w:shd w:val="clear" w:color="auto" w:fill="auto"/>
          <w:lang w:val="fr-FR"/>
        </w:rPr>
        <w:t>NOM Prénom</w:t>
      </w:r>
    </w:p>
    <w:sectPr>
      <w:footerReference r:id="rId5" w:type="default"/>
      <w:pgSz w:w="11906" w:h="16838"/>
      <w:pgMar w:top="1191" w:right="1253" w:bottom="1191" w:left="1253" w:header="720" w:footer="720" w:gutter="0"/>
      <w:pgNumType w:fmt="decimal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ＭＳ 明朝">
    <w:altName w:val="Kozuka Mincho Pr6N R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4FA80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7E1EC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Zone de texte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NJWO7QAAAA&#10;BQEAAA8AAAAAAAAAAQAgAAAAIgAAAGRycy9kb3ducmV2LnhtbFBLAQIUABQAAAAIAIdO4kAgoG+E&#10;JQIAAGUEAAAOAAAAAAAAAAEAIAAAAB8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7E1EC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7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9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21648FB"/>
    <w:rsid w:val="2AF422B5"/>
    <w:rsid w:val="2BB327BE"/>
    <w:rsid w:val="2C8C3BAE"/>
    <w:rsid w:val="370B6F05"/>
    <w:rsid w:val="4C013661"/>
    <w:rsid w:val="55324B01"/>
    <w:rsid w:val="5C574352"/>
    <w:rsid w:val="5EFDF208"/>
    <w:rsid w:val="5F7C42B5"/>
    <w:rsid w:val="6BE7F53C"/>
    <w:rsid w:val="6C2E5FFD"/>
    <w:rsid w:val="AD5DB812"/>
    <w:rsid w:val="E9BEBEE5"/>
    <w:rsid w:val="FBDF9D02"/>
    <w:rsid w:val="FFB5B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59" w:semiHidden="0" w:name="Table Grid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List Bullet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17">
    <w:name w:val="List Number 3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8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1">
    <w:name w:val="Body Text"/>
    <w:basedOn w:val="1"/>
    <w:link w:val="144"/>
    <w:unhideWhenUsed/>
    <w:qFormat/>
    <w:uiPriority w:val="99"/>
    <w:pPr>
      <w:spacing w:after="120"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6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 2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Bullet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33">
    <w:name w:val="List Bullet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4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6">
    <w:name w:val="Table Grid"/>
    <w:basedOn w:val="3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0">
    <w:name w:val="Medium List 2 Accent 1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1">
    <w:name w:val="Medium List 2 Accen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2">
    <w:name w:val="Medium List 2 Accent 3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3">
    <w:name w:val="Medium List 2 Accent 4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4">
    <w:name w:val="Medium List 2 Accent 5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5">
    <w:name w:val="Medium List 2 Accent 6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86">
    <w:name w:val="Medium Grid 1"/>
    <w:basedOn w:val="35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4">
    <w:name w:val="Medium Grid 2 Accent 1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5">
    <w:name w:val="Medium Grid 2 Accent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6">
    <w:name w:val="Medium Grid 2 Accent 3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7">
    <w:name w:val="Medium Grid 2 Accent 4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8">
    <w:name w:val="Medium Grid 2 Accent 5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99">
    <w:name w:val="Medium Grid 2 Accent 6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00">
    <w:name w:val="Medium Grid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26"/>
    <w:qFormat/>
    <w:uiPriority w:val="99"/>
  </w:style>
  <w:style w:type="character" w:customStyle="1" w:styleId="136">
    <w:name w:val="Footer Char"/>
    <w:basedOn w:val="11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21"/>
    <w:qFormat/>
    <w:uiPriority w:val="99"/>
  </w:style>
  <w:style w:type="character" w:customStyle="1" w:styleId="145">
    <w:name w:val="Body Text 2 Char"/>
    <w:basedOn w:val="11"/>
    <w:link w:val="23"/>
    <w:qFormat/>
    <w:uiPriority w:val="99"/>
  </w:style>
  <w:style w:type="character" w:customStyle="1" w:styleId="146">
    <w:name w:val="Body Text 3 Char"/>
    <w:basedOn w:val="11"/>
    <w:link w:val="18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27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164">
    <w:name w:val="p1"/>
    <w:uiPriority w:val="0"/>
    <w:pPr>
      <w:spacing w:before="0" w:beforeAutospacing="0" w:after="0" w:afterAutospacing="0"/>
      <w:ind w:left="0" w:right="0"/>
      <w:jc w:val="center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2013-12-24T01:15:00Z</dcterms:created>
  <dc:creator>python-docx</dc:creator>
  <dc:description>generated by python-docx</dc:description>
  <cp:lastModifiedBy>organ</cp:lastModifiedBy>
  <cp:lastPrinted>2026-01-20T14:24:00Z</cp:lastPrinted>
  <dcterms:modified xsi:type="dcterms:W3CDTF">2026-02-28T17:22:08Z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78D54D29FE0042D3B0AC0297E72A7AB7_13</vt:lpwstr>
  </property>
</Properties>
</file>